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9352" w14:textId="43D06836" w:rsidR="00CB3EFB" w:rsidRPr="00D22905" w:rsidRDefault="00CB3EFB" w:rsidP="00D22905">
      <w:pPr>
        <w:jc w:val="center"/>
        <w:rPr>
          <w:b/>
          <w:bCs/>
          <w:sz w:val="36"/>
          <w:szCs w:val="36"/>
        </w:rPr>
      </w:pPr>
      <w:r w:rsidRPr="00D22905">
        <w:rPr>
          <w:b/>
          <w:bCs/>
          <w:sz w:val="36"/>
          <w:szCs w:val="36"/>
        </w:rPr>
        <w:t>Holiday Learning</w:t>
      </w: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3696"/>
        <w:gridCol w:w="5494"/>
        <w:gridCol w:w="2582"/>
        <w:gridCol w:w="2555"/>
      </w:tblGrid>
      <w:tr w:rsidR="00D22905" w14:paraId="1BD59964" w14:textId="77777777" w:rsidTr="009075FC">
        <w:trPr>
          <w:trHeight w:val="619"/>
        </w:trPr>
        <w:tc>
          <w:tcPr>
            <w:tcW w:w="3696" w:type="dxa"/>
          </w:tcPr>
          <w:p w14:paraId="25F0C145" w14:textId="2BFE6DE9" w:rsidR="00CB3EFB" w:rsidRPr="009075FC" w:rsidRDefault="00CB3EFB" w:rsidP="009075FC">
            <w:pPr>
              <w:jc w:val="center"/>
              <w:rPr>
                <w:b/>
                <w:bCs/>
                <w:sz w:val="32"/>
                <w:szCs w:val="32"/>
              </w:rPr>
            </w:pPr>
            <w:r w:rsidRPr="009075FC">
              <w:rPr>
                <w:b/>
                <w:bCs/>
                <w:sz w:val="32"/>
                <w:szCs w:val="32"/>
              </w:rPr>
              <w:t>Home Learning Ideas</w:t>
            </w:r>
          </w:p>
        </w:tc>
        <w:tc>
          <w:tcPr>
            <w:tcW w:w="5494" w:type="dxa"/>
          </w:tcPr>
          <w:p w14:paraId="20333F39" w14:textId="3484AE49" w:rsidR="00CB3EFB" w:rsidRPr="009075FC" w:rsidRDefault="00CB3EFB" w:rsidP="009075FC">
            <w:pPr>
              <w:jc w:val="center"/>
              <w:rPr>
                <w:b/>
                <w:bCs/>
                <w:sz w:val="32"/>
                <w:szCs w:val="32"/>
              </w:rPr>
            </w:pPr>
            <w:r w:rsidRPr="009075FC">
              <w:rPr>
                <w:b/>
                <w:bCs/>
                <w:sz w:val="32"/>
                <w:szCs w:val="32"/>
              </w:rPr>
              <w:t>Weblink</w:t>
            </w:r>
          </w:p>
        </w:tc>
        <w:tc>
          <w:tcPr>
            <w:tcW w:w="2582" w:type="dxa"/>
          </w:tcPr>
          <w:p w14:paraId="690D284C" w14:textId="58BF0BC6" w:rsidR="00CB3EFB" w:rsidRPr="009075FC" w:rsidRDefault="00D22905" w:rsidP="009075FC">
            <w:pPr>
              <w:jc w:val="center"/>
              <w:rPr>
                <w:b/>
                <w:bCs/>
                <w:sz w:val="32"/>
                <w:szCs w:val="32"/>
              </w:rPr>
            </w:pPr>
            <w:r w:rsidRPr="009075FC">
              <w:rPr>
                <w:b/>
                <w:bCs/>
                <w:sz w:val="32"/>
                <w:szCs w:val="32"/>
              </w:rPr>
              <w:t>Information</w:t>
            </w:r>
          </w:p>
        </w:tc>
        <w:tc>
          <w:tcPr>
            <w:tcW w:w="2555" w:type="dxa"/>
          </w:tcPr>
          <w:p w14:paraId="38CFED76" w14:textId="77777777" w:rsidR="00CB3EFB" w:rsidRDefault="00CB3EFB"/>
        </w:tc>
      </w:tr>
      <w:tr w:rsidR="00D22905" w14:paraId="5B1F66BC" w14:textId="77777777" w:rsidTr="009075FC">
        <w:trPr>
          <w:trHeight w:val="1986"/>
        </w:trPr>
        <w:tc>
          <w:tcPr>
            <w:tcW w:w="3696" w:type="dxa"/>
          </w:tcPr>
          <w:p w14:paraId="1BC526C4" w14:textId="532E9207" w:rsidR="00CB3EFB" w:rsidRDefault="00CB3EFB">
            <w:pPr>
              <w:rPr>
                <w:b/>
                <w:bCs/>
                <w:sz w:val="32"/>
                <w:szCs w:val="32"/>
                <w:u w:val="single"/>
              </w:rPr>
            </w:pPr>
            <w:r w:rsidRPr="00CB3EFB">
              <w:rPr>
                <w:b/>
                <w:bCs/>
                <w:sz w:val="32"/>
                <w:szCs w:val="32"/>
                <w:u w:val="single"/>
              </w:rPr>
              <w:t>Summer Challenge</w:t>
            </w:r>
          </w:p>
          <w:p w14:paraId="3CA50271" w14:textId="1C1EF769" w:rsidR="00CB3EFB" w:rsidRPr="00CB3EFB" w:rsidRDefault="00CB3EFB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B0642F8" wp14:editId="218C76A9">
                  <wp:extent cx="2200275" cy="409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34BA5" w14:textId="77777777" w:rsidR="00CB3EFB" w:rsidRPr="00CB3EFB" w:rsidRDefault="00CB3EFB">
            <w:pPr>
              <w:rPr>
                <w:b/>
                <w:bCs/>
                <w:sz w:val="20"/>
                <w:szCs w:val="20"/>
              </w:rPr>
            </w:pPr>
          </w:p>
          <w:p w14:paraId="6C6A5CC7" w14:textId="14D66291" w:rsidR="00CB3EFB" w:rsidRPr="00CB3EFB" w:rsidRDefault="00CB3EFB">
            <w:pPr>
              <w:rPr>
                <w:b/>
                <w:bCs/>
              </w:rPr>
            </w:pPr>
            <w:r w:rsidRPr="00CB3EFB">
              <w:rPr>
                <w:rFonts w:ascii="Arial" w:hAnsi="Arial" w:cs="Arial"/>
                <w:b/>
                <w:bCs/>
                <w:color w:val="242424"/>
                <w:sz w:val="20"/>
                <w:szCs w:val="20"/>
                <w:shd w:val="clear" w:color="auto" w:fill="FFFFFF"/>
              </w:rPr>
              <w:t>To support those looking for ways to educate and entertain children aged 5-11 and keep them active, we are making school curriculum-linked resources available for home learning, with no registration.</w:t>
            </w:r>
            <w:r w:rsidRPr="00CB3EFB">
              <w:rPr>
                <w:rFonts w:ascii="Arial" w:hAnsi="Arial" w:cs="Arial"/>
                <w:b/>
                <w:bCs/>
                <w:color w:val="24242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494" w:type="dxa"/>
          </w:tcPr>
          <w:p w14:paraId="47763B20" w14:textId="26266CF1" w:rsidR="00CB3EFB" w:rsidRDefault="009075FC">
            <w:hyperlink r:id="rId5" w:anchor="m-resource-2480-link" w:history="1">
              <w:r w:rsidR="00CB3EFB">
                <w:rPr>
                  <w:rStyle w:val="Hyperlink"/>
                </w:rPr>
                <w:t>https://plprimarystars.com/resources/summer-challenge#m-resource-2480-link</w:t>
              </w:r>
            </w:hyperlink>
          </w:p>
        </w:tc>
        <w:tc>
          <w:tcPr>
            <w:tcW w:w="2582" w:type="dxa"/>
          </w:tcPr>
          <w:p w14:paraId="1DC705C8" w14:textId="76892BA5" w:rsidR="00CB3EFB" w:rsidRPr="00CB3EFB" w:rsidRDefault="00CB3EFB">
            <w:pPr>
              <w:rPr>
                <w:sz w:val="20"/>
                <w:szCs w:val="20"/>
              </w:rPr>
            </w:pPr>
            <w:r w:rsidRPr="00CB3EFB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See how many activities you can complete this summer! By clicking on the activity, it will take you to the relevant resource pack. </w:t>
            </w:r>
          </w:p>
        </w:tc>
        <w:tc>
          <w:tcPr>
            <w:tcW w:w="2555" w:type="dxa"/>
          </w:tcPr>
          <w:p w14:paraId="27D29DD2" w14:textId="77777777" w:rsidR="00CB3EFB" w:rsidRPr="00CB3EFB" w:rsidRDefault="00CB3EFB" w:rsidP="00CB3EFB">
            <w:pPr>
              <w:pStyle w:val="NormalWeb"/>
              <w:shd w:val="clear" w:color="auto" w:fill="FFFFFF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CB3EFB">
              <w:rPr>
                <w:rFonts w:ascii="Arial" w:hAnsi="Arial" w:cs="Arial"/>
                <w:color w:val="242424"/>
                <w:sz w:val="20"/>
                <w:szCs w:val="20"/>
              </w:rPr>
              <w:t xml:space="preserve">Print and colour this poster and stick it up on your wall. If you </w:t>
            </w:r>
            <w:proofErr w:type="gramStart"/>
            <w:r w:rsidRPr="00CB3EFB">
              <w:rPr>
                <w:rFonts w:ascii="Arial" w:hAnsi="Arial" w:cs="Arial"/>
                <w:color w:val="242424"/>
                <w:sz w:val="20"/>
                <w:szCs w:val="20"/>
              </w:rPr>
              <w:t>can't</w:t>
            </w:r>
            <w:proofErr w:type="gramEnd"/>
            <w:r w:rsidRPr="00CB3EFB">
              <w:rPr>
                <w:rFonts w:ascii="Arial" w:hAnsi="Arial" w:cs="Arial"/>
                <w:color w:val="242424"/>
                <w:sz w:val="20"/>
                <w:szCs w:val="20"/>
              </w:rPr>
              <w:t xml:space="preserve"> print the poster, download and save it to your computer. Click on the stars and footballs once you have completed the activity and see what happens!</w:t>
            </w:r>
          </w:p>
          <w:p w14:paraId="7735843F" w14:textId="77777777" w:rsidR="00CB3EFB" w:rsidRDefault="00CB3EFB"/>
        </w:tc>
      </w:tr>
      <w:tr w:rsidR="00D22905" w14:paraId="13B6069C" w14:textId="77777777" w:rsidTr="009075FC">
        <w:trPr>
          <w:trHeight w:val="279"/>
        </w:trPr>
        <w:tc>
          <w:tcPr>
            <w:tcW w:w="3696" w:type="dxa"/>
          </w:tcPr>
          <w:p w14:paraId="5EB53241" w14:textId="1EFC5045" w:rsidR="00CB3EFB" w:rsidRDefault="00D22905">
            <w:r>
              <w:rPr>
                <w:noProof/>
              </w:rPr>
              <w:drawing>
                <wp:inline distT="0" distB="0" distL="0" distR="0" wp14:anchorId="50A0246F" wp14:editId="0AFA0B59">
                  <wp:extent cx="1733550" cy="986720"/>
                  <wp:effectExtent l="0" t="0" r="0" b="4445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6"/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823" cy="99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6855E065" w14:textId="74C37F5D" w:rsidR="00CB3EFB" w:rsidRDefault="009075FC">
            <w:hyperlink r:id="rId8" w:history="1">
              <w:r w:rsidR="00D22905">
                <w:rPr>
                  <w:rStyle w:val="Hyperlink"/>
                </w:rPr>
                <w:t>https://plprimarystars.com/home-learning/english</w:t>
              </w:r>
            </w:hyperlink>
          </w:p>
        </w:tc>
        <w:tc>
          <w:tcPr>
            <w:tcW w:w="2582" w:type="dxa"/>
            <w:shd w:val="clear" w:color="auto" w:fill="FFFFFF" w:themeFill="background1"/>
          </w:tcPr>
          <w:p w14:paraId="418E7B67" w14:textId="02A5A929" w:rsidR="00CB3EFB" w:rsidRPr="00D22905" w:rsidRDefault="00D22905">
            <w:pPr>
              <w:rPr>
                <w:highlight w:val="lightGray"/>
              </w:rPr>
            </w:pPr>
            <w:r w:rsidRPr="00D22905">
              <w:rPr>
                <w:rFonts w:ascii="Arial" w:hAnsi="Arial" w:cs="Arial"/>
                <w:color w:val="000000" w:themeColor="text1"/>
                <w:sz w:val="21"/>
                <w:szCs w:val="21"/>
                <w:highlight w:val="lightGray"/>
                <w:shd w:val="clear" w:color="auto" w:fill="963CFF"/>
              </w:rPr>
              <w:t>A variety of English resources to do at home. Poetry, reading, spelling challenges</w:t>
            </w:r>
          </w:p>
        </w:tc>
        <w:tc>
          <w:tcPr>
            <w:tcW w:w="2555" w:type="dxa"/>
          </w:tcPr>
          <w:p w14:paraId="1220E9CD" w14:textId="332EE884" w:rsidR="00CB3EFB" w:rsidRDefault="00D22905">
            <w:r>
              <w:t>English</w:t>
            </w:r>
          </w:p>
        </w:tc>
      </w:tr>
      <w:tr w:rsidR="00D22905" w14:paraId="026608E2" w14:textId="77777777" w:rsidTr="009075FC">
        <w:trPr>
          <w:trHeight w:val="263"/>
        </w:trPr>
        <w:tc>
          <w:tcPr>
            <w:tcW w:w="3696" w:type="dxa"/>
          </w:tcPr>
          <w:p w14:paraId="49285DCC" w14:textId="64678EBA" w:rsidR="00CB3EFB" w:rsidRDefault="00D22905">
            <w:r>
              <w:rPr>
                <w:noProof/>
              </w:rPr>
              <w:drawing>
                <wp:inline distT="0" distB="0" distL="0" distR="0" wp14:anchorId="73DB661C" wp14:editId="151D6704">
                  <wp:extent cx="1695450" cy="99311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86" cy="100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2CA32DC2" w14:textId="2BC3F7E4" w:rsidR="00CB3EFB" w:rsidRDefault="009075FC">
            <w:hyperlink r:id="rId10" w:history="1">
              <w:r w:rsidR="00D22905">
                <w:rPr>
                  <w:rStyle w:val="Hyperlink"/>
                </w:rPr>
                <w:t>https://plprimarystars.com/home-learning/maths</w:t>
              </w:r>
            </w:hyperlink>
          </w:p>
        </w:tc>
        <w:tc>
          <w:tcPr>
            <w:tcW w:w="2582" w:type="dxa"/>
          </w:tcPr>
          <w:p w14:paraId="0B1F2C5E" w14:textId="021ED305" w:rsidR="00CB3EFB" w:rsidRDefault="00D22905">
            <w:r>
              <w:t xml:space="preserve">A variety of fun maths resources using the inspiration of the premier league. </w:t>
            </w:r>
          </w:p>
        </w:tc>
        <w:tc>
          <w:tcPr>
            <w:tcW w:w="2555" w:type="dxa"/>
          </w:tcPr>
          <w:p w14:paraId="45F5D12A" w14:textId="26A0608A" w:rsidR="00CB3EFB" w:rsidRDefault="00D22905">
            <w:r>
              <w:t>Maths</w:t>
            </w:r>
          </w:p>
        </w:tc>
      </w:tr>
      <w:tr w:rsidR="00D22905" w14:paraId="2671E918" w14:textId="77777777" w:rsidTr="009075FC">
        <w:trPr>
          <w:trHeight w:val="279"/>
        </w:trPr>
        <w:tc>
          <w:tcPr>
            <w:tcW w:w="3696" w:type="dxa"/>
          </w:tcPr>
          <w:p w14:paraId="1F6F8AAA" w14:textId="379E1630" w:rsidR="00CB3EFB" w:rsidRDefault="00D22905">
            <w:r>
              <w:rPr>
                <w:noProof/>
              </w:rPr>
              <w:drawing>
                <wp:inline distT="0" distB="0" distL="0" distR="0" wp14:anchorId="46C61377" wp14:editId="0649A060">
                  <wp:extent cx="2085975" cy="1196691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828" cy="120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0D5D39D8" w14:textId="77777777" w:rsidR="00CB3EFB" w:rsidRDefault="009075FC">
            <w:hyperlink r:id="rId12" w:history="1">
              <w:r w:rsidR="00246D02">
                <w:rPr>
                  <w:rStyle w:val="Hyperlink"/>
                </w:rPr>
                <w:t>https://plprimarystars.com/home-learning/health-wellbeing</w:t>
              </w:r>
            </w:hyperlink>
          </w:p>
          <w:p w14:paraId="152756F5" w14:textId="4B6C1B39" w:rsidR="00246D02" w:rsidRDefault="00246D02"/>
        </w:tc>
        <w:tc>
          <w:tcPr>
            <w:tcW w:w="2582" w:type="dxa"/>
          </w:tcPr>
          <w:p w14:paraId="213FAC27" w14:textId="68EF905C" w:rsidR="00CB3EFB" w:rsidRDefault="00D22905"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FFFFFF"/>
              </w:rPr>
              <w:t>The Premier League Primary Stars team has selected some resources to improve and support health and positive wellbeing while at home.</w:t>
            </w:r>
          </w:p>
        </w:tc>
        <w:tc>
          <w:tcPr>
            <w:tcW w:w="2555" w:type="dxa"/>
          </w:tcPr>
          <w:p w14:paraId="22BC2205" w14:textId="7EFB433E" w:rsidR="00CB3EFB" w:rsidRDefault="00D22905">
            <w:r>
              <w:t xml:space="preserve">Health and </w:t>
            </w:r>
            <w:r w:rsidR="00246D02">
              <w:t>W</w:t>
            </w:r>
            <w:r>
              <w:t>ellbeing</w:t>
            </w:r>
          </w:p>
        </w:tc>
      </w:tr>
    </w:tbl>
    <w:p w14:paraId="31B7613F" w14:textId="0E3FDDBF" w:rsidR="00CB3EFB" w:rsidRDefault="00CB3EFB"/>
    <w:sectPr w:rsidR="00CB3EFB" w:rsidSect="00D2290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FB"/>
    <w:rsid w:val="00246D02"/>
    <w:rsid w:val="006817B3"/>
    <w:rsid w:val="009075FC"/>
    <w:rsid w:val="00CB3EFB"/>
    <w:rsid w:val="00D22905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A961"/>
  <w15:chartTrackingRefBased/>
  <w15:docId w15:val="{D98EE085-6E76-45EB-94C5-E3B4998A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EFB"/>
    <w:rPr>
      <w:color w:val="0000FF"/>
      <w:u w:val="single"/>
    </w:rPr>
  </w:style>
  <w:style w:type="table" w:styleId="TableGrid">
    <w:name w:val="Table Grid"/>
    <w:basedOn w:val="TableNormal"/>
    <w:uiPriority w:val="39"/>
    <w:rsid w:val="00CB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6D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6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primarystars.com/home-learning/englis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lprimarystars.com/home-learning/health-wellbe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primarystars.com/home-learning/english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plprimarystars.com/resources/summer-challenge" TargetMode="External"/><Relationship Id="rId10" Type="http://schemas.openxmlformats.org/officeDocument/2006/relationships/hyperlink" Target="https://plprimarystars.com/home-learning/math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McNamara</dc:creator>
  <cp:keywords/>
  <dc:description/>
  <cp:lastModifiedBy>Catherine McNamara</cp:lastModifiedBy>
  <cp:revision>2</cp:revision>
  <dcterms:created xsi:type="dcterms:W3CDTF">2020-07-21T00:58:00Z</dcterms:created>
  <dcterms:modified xsi:type="dcterms:W3CDTF">2020-07-21T00:58:00Z</dcterms:modified>
</cp:coreProperties>
</file>