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744" w:rsidRPr="008F22E8" w:rsidRDefault="007D5975" w:rsidP="008F22E8">
      <w:pPr>
        <w:jc w:val="center"/>
        <w:rPr>
          <w:b/>
          <w:sz w:val="24"/>
          <w:szCs w:val="24"/>
          <w:u w:val="single"/>
        </w:rPr>
      </w:pPr>
      <w:r w:rsidRPr="008F22E8">
        <w:rPr>
          <w:b/>
          <w:sz w:val="24"/>
          <w:szCs w:val="24"/>
          <w:u w:val="single"/>
        </w:rPr>
        <w:t>Year 5 Learning</w:t>
      </w:r>
    </w:p>
    <w:p w:rsidR="007D5975" w:rsidRDefault="007D5975">
      <w:pPr>
        <w:rPr>
          <w:sz w:val="24"/>
          <w:szCs w:val="24"/>
        </w:rPr>
      </w:pPr>
      <w:r w:rsidRPr="00B76901">
        <w:rPr>
          <w:sz w:val="24"/>
          <w:szCs w:val="24"/>
        </w:rPr>
        <w:t>Date:</w:t>
      </w:r>
      <w:r w:rsidR="0073533A">
        <w:rPr>
          <w:sz w:val="24"/>
          <w:szCs w:val="24"/>
        </w:rPr>
        <w:t xml:space="preserve"> </w:t>
      </w:r>
      <w:r w:rsidR="009048B7">
        <w:rPr>
          <w:sz w:val="24"/>
          <w:szCs w:val="24"/>
        </w:rPr>
        <w:t>11</w:t>
      </w:r>
      <w:r w:rsidR="00E120CD" w:rsidRPr="00E120CD">
        <w:rPr>
          <w:sz w:val="24"/>
          <w:szCs w:val="24"/>
          <w:vertAlign w:val="superscript"/>
        </w:rPr>
        <w:t>th</w:t>
      </w:r>
      <w:r w:rsidR="006778A4">
        <w:rPr>
          <w:sz w:val="24"/>
          <w:szCs w:val="24"/>
        </w:rPr>
        <w:t xml:space="preserve"> May </w:t>
      </w:r>
      <w:r w:rsidR="0073533A">
        <w:rPr>
          <w:sz w:val="24"/>
          <w:szCs w:val="24"/>
        </w:rPr>
        <w:t>2020</w:t>
      </w:r>
    </w:p>
    <w:tbl>
      <w:tblPr>
        <w:tblStyle w:val="TableGrid"/>
        <w:tblW w:w="0" w:type="auto"/>
        <w:tblLayout w:type="fixed"/>
        <w:tblLook w:val="04A0"/>
      </w:tblPr>
      <w:tblGrid>
        <w:gridCol w:w="1384"/>
        <w:gridCol w:w="7858"/>
      </w:tblGrid>
      <w:tr w:rsidR="007D5975" w:rsidRPr="00B76901" w:rsidTr="001B22C7">
        <w:tc>
          <w:tcPr>
            <w:tcW w:w="1384" w:type="dxa"/>
          </w:tcPr>
          <w:p w:rsidR="007D5975" w:rsidRPr="00B76901" w:rsidRDefault="007D5975">
            <w:pPr>
              <w:rPr>
                <w:sz w:val="24"/>
                <w:szCs w:val="24"/>
              </w:rPr>
            </w:pPr>
            <w:r w:rsidRPr="00B76901">
              <w:rPr>
                <w:sz w:val="24"/>
                <w:szCs w:val="24"/>
              </w:rPr>
              <w:t>Maths</w:t>
            </w:r>
          </w:p>
        </w:tc>
        <w:tc>
          <w:tcPr>
            <w:tcW w:w="7858" w:type="dxa"/>
          </w:tcPr>
          <w:p w:rsidR="009048B7" w:rsidRPr="00167E39" w:rsidRDefault="009048B7" w:rsidP="009048B7">
            <w:pPr>
              <w:rPr>
                <w:color w:val="7030A0"/>
                <w:sz w:val="24"/>
                <w:szCs w:val="24"/>
                <w:u w:val="single"/>
              </w:rPr>
            </w:pPr>
            <w:r w:rsidRPr="00167E39">
              <w:rPr>
                <w:color w:val="7030A0"/>
                <w:sz w:val="24"/>
                <w:szCs w:val="24"/>
                <w:u w:val="single"/>
              </w:rPr>
              <w:t>WALT-</w:t>
            </w:r>
            <w:r>
              <w:rPr>
                <w:color w:val="7030A0"/>
                <w:sz w:val="24"/>
                <w:szCs w:val="24"/>
                <w:u w:val="single"/>
              </w:rPr>
              <w:t xml:space="preserve"> subtract a fraction from a mixed number</w:t>
            </w:r>
          </w:p>
          <w:p w:rsidR="009048B7" w:rsidRDefault="009048B7" w:rsidP="009048B7">
            <w:pPr>
              <w:rPr>
                <w:sz w:val="24"/>
                <w:szCs w:val="24"/>
              </w:rPr>
            </w:pPr>
          </w:p>
          <w:p w:rsidR="009048B7" w:rsidRDefault="009048B7" w:rsidP="009048B7">
            <w:r>
              <w:rPr>
                <w:color w:val="FF0000"/>
                <w:sz w:val="24"/>
                <w:szCs w:val="24"/>
              </w:rPr>
              <w:t xml:space="preserve">Parents note: In order to do this lesson, children must be able to convert mixed numbers to improper fractions and vice versa. If this is challenge, spend more time on this instead. Use this link: </w:t>
            </w:r>
            <w:hyperlink r:id="rId5" w:history="1">
              <w:r>
                <w:rPr>
                  <w:rStyle w:val="Hyperlink"/>
                </w:rPr>
                <w:t>https://whiterosemaths.com/homelearning/year-5/</w:t>
              </w:r>
            </w:hyperlink>
          </w:p>
          <w:p w:rsidR="009048B7" w:rsidRPr="00393E99" w:rsidRDefault="009048B7" w:rsidP="009048B7">
            <w:pPr>
              <w:rPr>
                <w:color w:val="FF0000"/>
                <w:sz w:val="24"/>
                <w:szCs w:val="24"/>
              </w:rPr>
            </w:pPr>
            <w:r w:rsidRPr="00393E99">
              <w:rPr>
                <w:color w:val="FF0000"/>
              </w:rPr>
              <w:t xml:space="preserve">Watch week 4 lesson 3 to support this. </w:t>
            </w:r>
          </w:p>
          <w:p w:rsidR="009048B7" w:rsidRDefault="009048B7" w:rsidP="009048B7">
            <w:pPr>
              <w:rPr>
                <w:color w:val="FF0000"/>
                <w:sz w:val="24"/>
                <w:szCs w:val="24"/>
              </w:rPr>
            </w:pPr>
          </w:p>
          <w:p w:rsidR="009048B7" w:rsidRDefault="009048B7" w:rsidP="009048B7">
            <w:pPr>
              <w:rPr>
                <w:color w:val="FF0000"/>
                <w:sz w:val="24"/>
                <w:szCs w:val="24"/>
              </w:rPr>
            </w:pPr>
          </w:p>
          <w:p w:rsidR="009048B7" w:rsidRPr="009048B7" w:rsidRDefault="009048B7" w:rsidP="009048B7">
            <w:pPr>
              <w:rPr>
                <w:sz w:val="24"/>
                <w:szCs w:val="24"/>
              </w:rPr>
            </w:pPr>
            <w:r w:rsidRPr="009048B7">
              <w:rPr>
                <w:sz w:val="24"/>
                <w:szCs w:val="24"/>
              </w:rPr>
              <w:t>For today’s lesson:</w:t>
            </w:r>
          </w:p>
          <w:p w:rsidR="009048B7" w:rsidRDefault="009048B7" w:rsidP="009048B7">
            <w:pPr>
              <w:rPr>
                <w:sz w:val="24"/>
                <w:szCs w:val="24"/>
              </w:rPr>
            </w:pPr>
          </w:p>
          <w:p w:rsidR="009048B7" w:rsidRDefault="009048B7" w:rsidP="009048B7">
            <w:pPr>
              <w:rPr>
                <w:sz w:val="24"/>
                <w:szCs w:val="24"/>
              </w:rPr>
            </w:pPr>
            <w:r>
              <w:rPr>
                <w:sz w:val="24"/>
                <w:szCs w:val="24"/>
              </w:rPr>
              <w:t>Follow the PowerPoint on the blog</w:t>
            </w:r>
            <w:r w:rsidR="00E120CD">
              <w:rPr>
                <w:sz w:val="24"/>
                <w:szCs w:val="24"/>
              </w:rPr>
              <w:t xml:space="preserve"> for a step by step guide. You can also watch this tutorial:</w:t>
            </w:r>
          </w:p>
          <w:p w:rsidR="00E120CD" w:rsidRDefault="00E120CD" w:rsidP="009048B7">
            <w:pPr>
              <w:rPr>
                <w:sz w:val="24"/>
                <w:szCs w:val="24"/>
              </w:rPr>
            </w:pPr>
            <w:hyperlink r:id="rId6" w:history="1">
              <w:r>
                <w:rPr>
                  <w:rStyle w:val="Hyperlink"/>
                </w:rPr>
                <w:t>https://www.youtube.com/watch?v=zPOSnD02DQc</w:t>
              </w:r>
            </w:hyperlink>
          </w:p>
          <w:p w:rsidR="009048B7" w:rsidRDefault="009048B7" w:rsidP="009048B7">
            <w:pPr>
              <w:rPr>
                <w:sz w:val="24"/>
                <w:szCs w:val="24"/>
              </w:rPr>
            </w:pPr>
          </w:p>
          <w:p w:rsidR="009048B7" w:rsidRDefault="009048B7" w:rsidP="009048B7">
            <w:pPr>
              <w:rPr>
                <w:sz w:val="24"/>
                <w:szCs w:val="24"/>
              </w:rPr>
            </w:pPr>
            <w:r>
              <w:rPr>
                <w:sz w:val="24"/>
                <w:szCs w:val="24"/>
              </w:rPr>
              <w:t>Questions:</w:t>
            </w:r>
          </w:p>
          <w:p w:rsidR="009048B7" w:rsidRDefault="009048B7" w:rsidP="009048B7">
            <w:pPr>
              <w:rPr>
                <w:sz w:val="24"/>
                <w:szCs w:val="24"/>
              </w:rPr>
            </w:pPr>
            <w:r>
              <w:rPr>
                <w:sz w:val="24"/>
                <w:szCs w:val="24"/>
              </w:rPr>
              <w:t>Answers at the end of the page</w:t>
            </w:r>
          </w:p>
          <w:p w:rsidR="009048B7" w:rsidRDefault="00393E99" w:rsidP="009048B7">
            <w:pPr>
              <w:rPr>
                <w:sz w:val="24"/>
                <w:szCs w:val="24"/>
              </w:rPr>
            </w:pPr>
            <w:r>
              <w:rPr>
                <w:noProof/>
                <w:sz w:val="24"/>
                <w:szCs w:val="24"/>
                <w:lang w:eastAsia="en-GB"/>
              </w:rPr>
              <w:lastRenderedPageBreak/>
              <w:drawing>
                <wp:inline distT="0" distB="0" distL="0" distR="0">
                  <wp:extent cx="2124075" cy="5191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24075" cy="5191125"/>
                          </a:xfrm>
                          <a:prstGeom prst="rect">
                            <a:avLst/>
                          </a:prstGeom>
                          <a:noFill/>
                          <a:ln w="9525">
                            <a:noFill/>
                            <a:miter lim="800000"/>
                            <a:headEnd/>
                            <a:tailEnd/>
                          </a:ln>
                        </pic:spPr>
                      </pic:pic>
                    </a:graphicData>
                  </a:graphic>
                </wp:inline>
              </w:drawing>
            </w:r>
          </w:p>
          <w:p w:rsidR="00805285" w:rsidRDefault="00805285">
            <w:pPr>
              <w:rPr>
                <w:sz w:val="24"/>
                <w:szCs w:val="24"/>
              </w:rPr>
            </w:pPr>
          </w:p>
          <w:p w:rsidR="00805285" w:rsidRPr="00B76901" w:rsidRDefault="00805285">
            <w:pPr>
              <w:rPr>
                <w:sz w:val="24"/>
                <w:szCs w:val="24"/>
              </w:rPr>
            </w:pPr>
          </w:p>
        </w:tc>
      </w:tr>
      <w:tr w:rsidR="007D5975" w:rsidRPr="00B76901" w:rsidTr="001B22C7">
        <w:tc>
          <w:tcPr>
            <w:tcW w:w="1384" w:type="dxa"/>
          </w:tcPr>
          <w:p w:rsidR="007D5975" w:rsidRPr="00B76901" w:rsidRDefault="007D5975">
            <w:pPr>
              <w:rPr>
                <w:sz w:val="24"/>
                <w:szCs w:val="24"/>
              </w:rPr>
            </w:pPr>
            <w:r w:rsidRPr="00B76901">
              <w:rPr>
                <w:sz w:val="24"/>
                <w:szCs w:val="24"/>
              </w:rPr>
              <w:lastRenderedPageBreak/>
              <w:t>English</w:t>
            </w:r>
          </w:p>
        </w:tc>
        <w:tc>
          <w:tcPr>
            <w:tcW w:w="7858" w:type="dxa"/>
          </w:tcPr>
          <w:p w:rsidR="00E72FEC" w:rsidRDefault="0061681D">
            <w:pPr>
              <w:rPr>
                <w:color w:val="5F497A" w:themeColor="accent4" w:themeShade="BF"/>
                <w:sz w:val="24"/>
                <w:szCs w:val="24"/>
              </w:rPr>
            </w:pPr>
            <w:r>
              <w:rPr>
                <w:color w:val="5F497A" w:themeColor="accent4" w:themeShade="BF"/>
                <w:sz w:val="24"/>
                <w:szCs w:val="24"/>
              </w:rPr>
              <w:t xml:space="preserve">WALT- </w:t>
            </w:r>
            <w:proofErr w:type="gramStart"/>
            <w:r>
              <w:rPr>
                <w:color w:val="5F497A" w:themeColor="accent4" w:themeShade="BF"/>
                <w:sz w:val="24"/>
                <w:szCs w:val="24"/>
              </w:rPr>
              <w:t>improve</w:t>
            </w:r>
            <w:proofErr w:type="gramEnd"/>
            <w:r>
              <w:rPr>
                <w:color w:val="5F497A" w:themeColor="accent4" w:themeShade="BF"/>
                <w:sz w:val="24"/>
                <w:szCs w:val="24"/>
              </w:rPr>
              <w:t xml:space="preserve"> reading skills. </w:t>
            </w:r>
          </w:p>
          <w:p w:rsidR="0061681D" w:rsidRDefault="0061681D">
            <w:pPr>
              <w:rPr>
                <w:color w:val="5F497A" w:themeColor="accent4" w:themeShade="BF"/>
                <w:sz w:val="24"/>
                <w:szCs w:val="24"/>
              </w:rPr>
            </w:pPr>
          </w:p>
          <w:p w:rsidR="0061681D" w:rsidRPr="0061681D" w:rsidRDefault="0061681D">
            <w:pPr>
              <w:rPr>
                <w:sz w:val="24"/>
                <w:szCs w:val="24"/>
              </w:rPr>
            </w:pPr>
            <w:r w:rsidRPr="0061681D">
              <w:rPr>
                <w:sz w:val="24"/>
                <w:szCs w:val="24"/>
              </w:rPr>
              <w:t xml:space="preserve">Complete the reading comprehension </w:t>
            </w:r>
            <w:r w:rsidR="006778A4">
              <w:rPr>
                <w:sz w:val="24"/>
                <w:szCs w:val="24"/>
              </w:rPr>
              <w:t>that can be found on today’s</w:t>
            </w:r>
            <w:r w:rsidRPr="0061681D">
              <w:rPr>
                <w:sz w:val="24"/>
                <w:szCs w:val="24"/>
              </w:rPr>
              <w:t xml:space="preserve"> blog</w:t>
            </w:r>
            <w:r>
              <w:rPr>
                <w:sz w:val="24"/>
                <w:szCs w:val="24"/>
              </w:rPr>
              <w:t xml:space="preserve">. The answers are also there. </w:t>
            </w:r>
          </w:p>
          <w:p w:rsidR="00805285" w:rsidRPr="001B22C7" w:rsidRDefault="00805285">
            <w:pPr>
              <w:rPr>
                <w:color w:val="5F497A" w:themeColor="accent4" w:themeShade="BF"/>
                <w:sz w:val="24"/>
                <w:szCs w:val="24"/>
              </w:rPr>
            </w:pPr>
          </w:p>
        </w:tc>
      </w:tr>
      <w:tr w:rsidR="00E72FEC" w:rsidRPr="00B76901" w:rsidTr="001B22C7">
        <w:tc>
          <w:tcPr>
            <w:tcW w:w="1384" w:type="dxa"/>
          </w:tcPr>
          <w:p w:rsidR="00E72FEC" w:rsidRPr="00B76901" w:rsidRDefault="00E72FEC">
            <w:pPr>
              <w:rPr>
                <w:sz w:val="24"/>
                <w:szCs w:val="24"/>
              </w:rPr>
            </w:pPr>
            <w:r w:rsidRPr="00B76901">
              <w:rPr>
                <w:sz w:val="24"/>
                <w:szCs w:val="24"/>
              </w:rPr>
              <w:t>Reading</w:t>
            </w:r>
          </w:p>
        </w:tc>
        <w:tc>
          <w:tcPr>
            <w:tcW w:w="7858" w:type="dxa"/>
          </w:tcPr>
          <w:p w:rsidR="00E72FEC" w:rsidRPr="00B76901" w:rsidRDefault="00E72FEC">
            <w:pPr>
              <w:rPr>
                <w:noProof/>
                <w:sz w:val="24"/>
                <w:szCs w:val="24"/>
                <w:lang w:eastAsia="en-GB"/>
              </w:rPr>
            </w:pPr>
            <w:r w:rsidRPr="00B76901">
              <w:rPr>
                <w:noProof/>
                <w:sz w:val="24"/>
                <w:szCs w:val="24"/>
                <w:lang w:eastAsia="en-GB"/>
              </w:rPr>
              <w:t>Readtheroy.org x 10</w:t>
            </w:r>
          </w:p>
          <w:p w:rsidR="00057F96" w:rsidRDefault="00057F96">
            <w:pPr>
              <w:rPr>
                <w:noProof/>
                <w:sz w:val="24"/>
                <w:szCs w:val="24"/>
                <w:lang w:eastAsia="en-GB"/>
              </w:rPr>
            </w:pPr>
            <w:r w:rsidRPr="00B76901">
              <w:rPr>
                <w:noProof/>
                <w:sz w:val="24"/>
                <w:szCs w:val="24"/>
                <w:lang w:eastAsia="en-GB"/>
              </w:rPr>
              <w:t>Read your own book for 20 minutes</w:t>
            </w:r>
          </w:p>
          <w:p w:rsidR="00805285" w:rsidRDefault="00805285">
            <w:pPr>
              <w:rPr>
                <w:noProof/>
                <w:sz w:val="24"/>
                <w:szCs w:val="24"/>
                <w:lang w:eastAsia="en-GB"/>
              </w:rPr>
            </w:pPr>
          </w:p>
          <w:p w:rsidR="00805285" w:rsidRPr="00B76901" w:rsidRDefault="00805285">
            <w:pPr>
              <w:rPr>
                <w:noProof/>
                <w:sz w:val="24"/>
                <w:szCs w:val="24"/>
                <w:lang w:eastAsia="en-GB"/>
              </w:rPr>
            </w:pPr>
          </w:p>
        </w:tc>
      </w:tr>
      <w:tr w:rsidR="008F22E8" w:rsidRPr="00B76901" w:rsidTr="001B22C7">
        <w:tc>
          <w:tcPr>
            <w:tcW w:w="1384" w:type="dxa"/>
          </w:tcPr>
          <w:p w:rsidR="008F22E8" w:rsidRPr="00B76901" w:rsidRDefault="008F22E8">
            <w:pPr>
              <w:rPr>
                <w:sz w:val="24"/>
                <w:szCs w:val="24"/>
              </w:rPr>
            </w:pPr>
            <w:r>
              <w:rPr>
                <w:sz w:val="24"/>
                <w:szCs w:val="24"/>
              </w:rPr>
              <w:t>Spelling</w:t>
            </w:r>
          </w:p>
        </w:tc>
        <w:tc>
          <w:tcPr>
            <w:tcW w:w="7858" w:type="dxa"/>
          </w:tcPr>
          <w:p w:rsidR="008F22E8" w:rsidRDefault="00C94114">
            <w:pPr>
              <w:rPr>
                <w:noProof/>
                <w:sz w:val="24"/>
                <w:szCs w:val="24"/>
                <w:lang w:eastAsia="en-GB"/>
              </w:rPr>
            </w:pPr>
            <w:r>
              <w:rPr>
                <w:noProof/>
                <w:sz w:val="24"/>
                <w:szCs w:val="24"/>
                <w:lang w:eastAsia="en-GB"/>
              </w:rPr>
              <w:t>Spellingframe.co.uk</w:t>
            </w:r>
            <w:r w:rsidR="00FF15FE">
              <w:rPr>
                <w:noProof/>
                <w:sz w:val="24"/>
                <w:szCs w:val="24"/>
                <w:lang w:eastAsia="en-GB"/>
              </w:rPr>
              <w:t>- Spelling rule 58</w:t>
            </w:r>
          </w:p>
          <w:p w:rsidR="00C94114" w:rsidRDefault="00C94114">
            <w:pPr>
              <w:rPr>
                <w:noProof/>
                <w:color w:val="FF0000"/>
                <w:sz w:val="24"/>
                <w:szCs w:val="24"/>
                <w:lang w:eastAsia="en-GB"/>
              </w:rPr>
            </w:pPr>
          </w:p>
          <w:p w:rsidR="00805285" w:rsidRPr="00C94114" w:rsidRDefault="00805285">
            <w:pPr>
              <w:rPr>
                <w:noProof/>
                <w:color w:val="FF0000"/>
                <w:sz w:val="24"/>
                <w:szCs w:val="24"/>
                <w:lang w:eastAsia="en-GB"/>
              </w:rPr>
            </w:pPr>
          </w:p>
        </w:tc>
      </w:tr>
      <w:tr w:rsidR="007D5975" w:rsidRPr="00B76901" w:rsidTr="001B22C7">
        <w:tc>
          <w:tcPr>
            <w:tcW w:w="1384" w:type="dxa"/>
          </w:tcPr>
          <w:p w:rsidR="007D5975" w:rsidRPr="00B76901" w:rsidRDefault="00B76901">
            <w:pPr>
              <w:rPr>
                <w:sz w:val="24"/>
                <w:szCs w:val="24"/>
              </w:rPr>
            </w:pPr>
            <w:r w:rsidRPr="00B76901">
              <w:rPr>
                <w:sz w:val="24"/>
                <w:szCs w:val="24"/>
              </w:rPr>
              <w:t>Geography</w:t>
            </w:r>
          </w:p>
        </w:tc>
        <w:tc>
          <w:tcPr>
            <w:tcW w:w="7858" w:type="dxa"/>
          </w:tcPr>
          <w:p w:rsidR="00C94114" w:rsidRDefault="00C94114" w:rsidP="00C43DAD">
            <w:pPr>
              <w:rPr>
                <w:color w:val="8064A2" w:themeColor="accent4"/>
                <w:sz w:val="24"/>
                <w:szCs w:val="24"/>
              </w:rPr>
            </w:pPr>
            <w:r w:rsidRPr="00C94114">
              <w:rPr>
                <w:color w:val="8064A2" w:themeColor="accent4"/>
                <w:sz w:val="24"/>
                <w:szCs w:val="24"/>
              </w:rPr>
              <w:t xml:space="preserve">WALT- identify </w:t>
            </w:r>
            <w:r w:rsidR="0061681D">
              <w:rPr>
                <w:color w:val="8064A2" w:themeColor="accent4"/>
                <w:sz w:val="24"/>
                <w:szCs w:val="24"/>
              </w:rPr>
              <w:t>different types of settlement</w:t>
            </w:r>
          </w:p>
          <w:p w:rsidR="0061681D" w:rsidRDefault="0061681D" w:rsidP="00C43DAD">
            <w:pPr>
              <w:rPr>
                <w:color w:val="8064A2" w:themeColor="accent4"/>
                <w:sz w:val="24"/>
                <w:szCs w:val="24"/>
              </w:rPr>
            </w:pPr>
          </w:p>
          <w:p w:rsidR="0061681D" w:rsidRPr="0061681D" w:rsidRDefault="0061681D" w:rsidP="00C43DAD">
            <w:pPr>
              <w:rPr>
                <w:sz w:val="24"/>
                <w:szCs w:val="24"/>
              </w:rPr>
            </w:pPr>
            <w:r w:rsidRPr="0061681D">
              <w:rPr>
                <w:sz w:val="24"/>
                <w:szCs w:val="24"/>
              </w:rPr>
              <w:t xml:space="preserve">Follow the lesson on </w:t>
            </w:r>
            <w:proofErr w:type="spellStart"/>
            <w:r w:rsidRPr="0061681D">
              <w:rPr>
                <w:sz w:val="24"/>
                <w:szCs w:val="24"/>
              </w:rPr>
              <w:t>bb</w:t>
            </w:r>
            <w:r>
              <w:rPr>
                <w:sz w:val="24"/>
                <w:szCs w:val="24"/>
              </w:rPr>
              <w:t>c</w:t>
            </w:r>
            <w:proofErr w:type="spellEnd"/>
            <w:r>
              <w:rPr>
                <w:sz w:val="24"/>
                <w:szCs w:val="24"/>
              </w:rPr>
              <w:t xml:space="preserve"> </w:t>
            </w:r>
            <w:proofErr w:type="spellStart"/>
            <w:r>
              <w:rPr>
                <w:sz w:val="24"/>
                <w:szCs w:val="24"/>
              </w:rPr>
              <w:t>bitsize</w:t>
            </w:r>
            <w:proofErr w:type="spellEnd"/>
            <w:r>
              <w:rPr>
                <w:sz w:val="24"/>
                <w:szCs w:val="24"/>
              </w:rPr>
              <w:t>. Complete both activiti</w:t>
            </w:r>
            <w:r w:rsidRPr="0061681D">
              <w:rPr>
                <w:sz w:val="24"/>
                <w:szCs w:val="24"/>
              </w:rPr>
              <w:t xml:space="preserve">es. </w:t>
            </w:r>
          </w:p>
          <w:p w:rsidR="0061681D" w:rsidRDefault="0061681D" w:rsidP="00C43DAD"/>
          <w:p w:rsidR="0061681D" w:rsidRDefault="00647D31" w:rsidP="00C43DAD">
            <w:hyperlink r:id="rId8" w:history="1">
              <w:r w:rsidR="0061681D">
                <w:rPr>
                  <w:rStyle w:val="Hyperlink"/>
                </w:rPr>
                <w:t>https://www.bbc.co.uk/bitesize/articles/zh2nscw</w:t>
              </w:r>
            </w:hyperlink>
          </w:p>
          <w:p w:rsidR="0061681D" w:rsidRDefault="0061681D" w:rsidP="00C43DAD">
            <w:pPr>
              <w:rPr>
                <w:color w:val="8064A2" w:themeColor="accent4"/>
                <w:sz w:val="24"/>
                <w:szCs w:val="24"/>
              </w:rPr>
            </w:pPr>
          </w:p>
          <w:p w:rsidR="0061681D" w:rsidRPr="0061681D" w:rsidRDefault="0061681D" w:rsidP="00C43DAD">
            <w:pPr>
              <w:rPr>
                <w:sz w:val="24"/>
                <w:szCs w:val="24"/>
              </w:rPr>
            </w:pPr>
            <w:r w:rsidRPr="0061681D">
              <w:rPr>
                <w:sz w:val="24"/>
                <w:szCs w:val="24"/>
              </w:rPr>
              <w:t>Once you</w:t>
            </w:r>
            <w:r w:rsidR="006778A4">
              <w:rPr>
                <w:sz w:val="24"/>
                <w:szCs w:val="24"/>
              </w:rPr>
              <w:t xml:space="preserve"> have completed the lesson, think</w:t>
            </w:r>
            <w:r w:rsidRPr="0061681D">
              <w:rPr>
                <w:sz w:val="24"/>
                <w:szCs w:val="24"/>
              </w:rPr>
              <w:t xml:space="preserve"> about what type of settlement Potters Bar is.</w:t>
            </w:r>
          </w:p>
        </w:tc>
      </w:tr>
      <w:tr w:rsidR="00393E99" w:rsidRPr="00B76901" w:rsidTr="001B22C7">
        <w:tc>
          <w:tcPr>
            <w:tcW w:w="1384" w:type="dxa"/>
          </w:tcPr>
          <w:p w:rsidR="00393E99" w:rsidRPr="00B76901" w:rsidRDefault="00393E99">
            <w:pPr>
              <w:rPr>
                <w:sz w:val="24"/>
                <w:szCs w:val="24"/>
              </w:rPr>
            </w:pPr>
            <w:r>
              <w:rPr>
                <w:sz w:val="24"/>
                <w:szCs w:val="24"/>
              </w:rPr>
              <w:lastRenderedPageBreak/>
              <w:t>Maths Answers</w:t>
            </w:r>
          </w:p>
        </w:tc>
        <w:tc>
          <w:tcPr>
            <w:tcW w:w="7858" w:type="dxa"/>
          </w:tcPr>
          <w:p w:rsidR="00393E99" w:rsidRDefault="00393E99" w:rsidP="00C43DAD">
            <w:pPr>
              <w:rPr>
                <w:color w:val="8064A2" w:themeColor="accent4"/>
                <w:sz w:val="24"/>
                <w:szCs w:val="24"/>
              </w:rPr>
            </w:pPr>
            <w:r>
              <w:rPr>
                <w:noProof/>
                <w:color w:val="8064A2" w:themeColor="accent4"/>
                <w:sz w:val="24"/>
                <w:szCs w:val="24"/>
                <w:lang w:eastAsia="en-GB"/>
              </w:rPr>
              <w:drawing>
                <wp:inline distT="0" distB="0" distL="0" distR="0">
                  <wp:extent cx="4419600" cy="378142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419600" cy="3781425"/>
                          </a:xfrm>
                          <a:prstGeom prst="rect">
                            <a:avLst/>
                          </a:prstGeom>
                          <a:noFill/>
                          <a:ln w="9525">
                            <a:noFill/>
                            <a:miter lim="800000"/>
                            <a:headEnd/>
                            <a:tailEnd/>
                          </a:ln>
                        </pic:spPr>
                      </pic:pic>
                    </a:graphicData>
                  </a:graphic>
                </wp:inline>
              </w:drawing>
            </w:r>
          </w:p>
          <w:p w:rsidR="00393E99" w:rsidRDefault="00393E99" w:rsidP="00C43DAD">
            <w:pPr>
              <w:rPr>
                <w:color w:val="8064A2" w:themeColor="accent4"/>
                <w:sz w:val="24"/>
                <w:szCs w:val="24"/>
              </w:rPr>
            </w:pPr>
            <w:r>
              <w:rPr>
                <w:noProof/>
                <w:color w:val="8064A2" w:themeColor="accent4"/>
                <w:sz w:val="24"/>
                <w:szCs w:val="24"/>
                <w:lang w:eastAsia="en-GB"/>
              </w:rPr>
              <w:lastRenderedPageBreak/>
              <w:drawing>
                <wp:inline distT="0" distB="0" distL="0" distR="0">
                  <wp:extent cx="4810125" cy="6200552"/>
                  <wp:effectExtent l="19050" t="0" r="9525"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4810125" cy="6200552"/>
                          </a:xfrm>
                          <a:prstGeom prst="rect">
                            <a:avLst/>
                          </a:prstGeom>
                          <a:noFill/>
                          <a:ln w="9525">
                            <a:noFill/>
                            <a:miter lim="800000"/>
                            <a:headEnd/>
                            <a:tailEnd/>
                          </a:ln>
                        </pic:spPr>
                      </pic:pic>
                    </a:graphicData>
                  </a:graphic>
                </wp:inline>
              </w:drawing>
            </w:r>
          </w:p>
          <w:p w:rsidR="00393E99" w:rsidRPr="00C94114" w:rsidRDefault="00393E99" w:rsidP="00C43DAD">
            <w:pPr>
              <w:rPr>
                <w:color w:val="8064A2" w:themeColor="accent4"/>
                <w:sz w:val="24"/>
                <w:szCs w:val="24"/>
              </w:rPr>
            </w:pPr>
          </w:p>
        </w:tc>
      </w:tr>
    </w:tbl>
    <w:p w:rsidR="006778A4" w:rsidRPr="00B76901" w:rsidRDefault="006778A4">
      <w:pPr>
        <w:rPr>
          <w:sz w:val="24"/>
          <w:szCs w:val="24"/>
        </w:rPr>
      </w:pPr>
    </w:p>
    <w:sectPr w:rsidR="006778A4" w:rsidRPr="00B76901" w:rsidSect="008907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DC4BF4"/>
    <w:multiLevelType w:val="hybridMultilevel"/>
    <w:tmpl w:val="3C169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5975"/>
    <w:rsid w:val="000154D5"/>
    <w:rsid w:val="0003178B"/>
    <w:rsid w:val="00057F96"/>
    <w:rsid w:val="00167E39"/>
    <w:rsid w:val="0019384D"/>
    <w:rsid w:val="001B22C7"/>
    <w:rsid w:val="001D0C41"/>
    <w:rsid w:val="00216B52"/>
    <w:rsid w:val="003054BD"/>
    <w:rsid w:val="003828E3"/>
    <w:rsid w:val="00393E99"/>
    <w:rsid w:val="00422305"/>
    <w:rsid w:val="00452123"/>
    <w:rsid w:val="0061681D"/>
    <w:rsid w:val="00647D31"/>
    <w:rsid w:val="006778A4"/>
    <w:rsid w:val="006F2858"/>
    <w:rsid w:val="00732921"/>
    <w:rsid w:val="00734772"/>
    <w:rsid w:val="0073533A"/>
    <w:rsid w:val="007D5975"/>
    <w:rsid w:val="00805285"/>
    <w:rsid w:val="00890744"/>
    <w:rsid w:val="008D1320"/>
    <w:rsid w:val="008F22E8"/>
    <w:rsid w:val="009048B7"/>
    <w:rsid w:val="00AF1F44"/>
    <w:rsid w:val="00B654AE"/>
    <w:rsid w:val="00B76901"/>
    <w:rsid w:val="00BB31A1"/>
    <w:rsid w:val="00BF20CD"/>
    <w:rsid w:val="00C43DAD"/>
    <w:rsid w:val="00C94114"/>
    <w:rsid w:val="00D23596"/>
    <w:rsid w:val="00E120CD"/>
    <w:rsid w:val="00E21C9F"/>
    <w:rsid w:val="00E72FEC"/>
    <w:rsid w:val="00EB5E4C"/>
    <w:rsid w:val="00FF15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44"/>
  </w:style>
  <w:style w:type="paragraph" w:styleId="Heading2">
    <w:name w:val="heading 2"/>
    <w:basedOn w:val="Normal"/>
    <w:link w:val="Heading2Char"/>
    <w:uiPriority w:val="9"/>
    <w:qFormat/>
    <w:rsid w:val="00E72FE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5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2305"/>
    <w:rPr>
      <w:color w:val="0000FF"/>
      <w:u w:val="single"/>
    </w:rPr>
  </w:style>
  <w:style w:type="paragraph" w:styleId="BalloonText">
    <w:name w:val="Balloon Text"/>
    <w:basedOn w:val="Normal"/>
    <w:link w:val="BalloonTextChar"/>
    <w:uiPriority w:val="99"/>
    <w:semiHidden/>
    <w:unhideWhenUsed/>
    <w:rsid w:val="00E72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FEC"/>
    <w:rPr>
      <w:rFonts w:ascii="Tahoma" w:hAnsi="Tahoma" w:cs="Tahoma"/>
      <w:sz w:val="16"/>
      <w:szCs w:val="16"/>
    </w:rPr>
  </w:style>
  <w:style w:type="character" w:customStyle="1" w:styleId="Heading2Char">
    <w:name w:val="Heading 2 Char"/>
    <w:basedOn w:val="DefaultParagraphFont"/>
    <w:link w:val="Heading2"/>
    <w:uiPriority w:val="9"/>
    <w:rsid w:val="00E72FEC"/>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E72F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3533A"/>
    <w:rPr>
      <w:color w:val="800080" w:themeColor="followedHyperlink"/>
      <w:u w:val="single"/>
    </w:rPr>
  </w:style>
  <w:style w:type="paragraph" w:styleId="ListParagraph">
    <w:name w:val="List Paragraph"/>
    <w:basedOn w:val="Normal"/>
    <w:uiPriority w:val="34"/>
    <w:qFormat/>
    <w:rsid w:val="0003178B"/>
    <w:pPr>
      <w:ind w:left="720"/>
      <w:contextualSpacing/>
    </w:pPr>
  </w:style>
</w:styles>
</file>

<file path=word/webSettings.xml><?xml version="1.0" encoding="utf-8"?>
<w:webSettings xmlns:r="http://schemas.openxmlformats.org/officeDocument/2006/relationships" xmlns:w="http://schemas.openxmlformats.org/wordprocessingml/2006/main">
  <w:divs>
    <w:div w:id="685207628">
      <w:bodyDiv w:val="1"/>
      <w:marLeft w:val="0"/>
      <w:marRight w:val="0"/>
      <w:marTop w:val="0"/>
      <w:marBottom w:val="0"/>
      <w:divBdr>
        <w:top w:val="none" w:sz="0" w:space="0" w:color="auto"/>
        <w:left w:val="none" w:sz="0" w:space="0" w:color="auto"/>
        <w:bottom w:val="none" w:sz="0" w:space="0" w:color="auto"/>
        <w:right w:val="none" w:sz="0" w:space="0" w:color="auto"/>
      </w:divBdr>
    </w:div>
    <w:div w:id="740060988">
      <w:bodyDiv w:val="1"/>
      <w:marLeft w:val="0"/>
      <w:marRight w:val="0"/>
      <w:marTop w:val="0"/>
      <w:marBottom w:val="0"/>
      <w:divBdr>
        <w:top w:val="none" w:sz="0" w:space="0" w:color="auto"/>
        <w:left w:val="none" w:sz="0" w:space="0" w:color="auto"/>
        <w:bottom w:val="none" w:sz="0" w:space="0" w:color="auto"/>
        <w:right w:val="none" w:sz="0" w:space="0" w:color="auto"/>
      </w:divBdr>
    </w:div>
    <w:div w:id="1402485311">
      <w:bodyDiv w:val="1"/>
      <w:marLeft w:val="0"/>
      <w:marRight w:val="0"/>
      <w:marTop w:val="0"/>
      <w:marBottom w:val="0"/>
      <w:divBdr>
        <w:top w:val="none" w:sz="0" w:space="0" w:color="auto"/>
        <w:left w:val="none" w:sz="0" w:space="0" w:color="auto"/>
        <w:bottom w:val="none" w:sz="0" w:space="0" w:color="auto"/>
        <w:right w:val="none" w:sz="0" w:space="0" w:color="auto"/>
      </w:divBdr>
    </w:div>
    <w:div w:id="1753038291">
      <w:bodyDiv w:val="1"/>
      <w:marLeft w:val="0"/>
      <w:marRight w:val="0"/>
      <w:marTop w:val="0"/>
      <w:marBottom w:val="0"/>
      <w:divBdr>
        <w:top w:val="none" w:sz="0" w:space="0" w:color="auto"/>
        <w:left w:val="none" w:sz="0" w:space="0" w:color="auto"/>
        <w:bottom w:val="none" w:sz="0" w:space="0" w:color="auto"/>
        <w:right w:val="none" w:sz="0" w:space="0" w:color="auto"/>
      </w:divBdr>
    </w:div>
    <w:div w:id="20303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articles/zh2nsc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POSnD02DQc" TargetMode="External"/><Relationship Id="rId11" Type="http://schemas.openxmlformats.org/officeDocument/2006/relationships/fontTable" Target="fontTable.xml"/><Relationship Id="rId5" Type="http://schemas.openxmlformats.org/officeDocument/2006/relationships/hyperlink" Target="https://whiterosemaths.com/homelearning/year-5/"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2</cp:revision>
  <dcterms:created xsi:type="dcterms:W3CDTF">2020-05-10T11:54:00Z</dcterms:created>
  <dcterms:modified xsi:type="dcterms:W3CDTF">2020-05-10T11:54:00Z</dcterms:modified>
</cp:coreProperties>
</file>